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77787" w14:textId="3C199A08" w:rsidR="00A445AF" w:rsidRPr="00BE5E5A" w:rsidRDefault="00A445AF" w:rsidP="00A445AF">
      <w:pPr>
        <w:pStyle w:val="Header"/>
        <w:tabs>
          <w:tab w:val="right" w:pos="10440"/>
          <w:tab w:val="right" w:pos="13323"/>
        </w:tabs>
        <w:rPr>
          <w:rFonts w:eastAsia="SimSun" w:cs="Arial"/>
          <w:b/>
          <w:sz w:val="24"/>
          <w:szCs w:val="24"/>
          <w:lang w:eastAsia="zh-CN"/>
        </w:rPr>
      </w:pPr>
      <w:r w:rsidRPr="00F644CF">
        <w:rPr>
          <w:rFonts w:cs="Arial"/>
          <w:b/>
          <w:sz w:val="24"/>
          <w:szCs w:val="24"/>
        </w:rPr>
        <w:t>3GPP TSG-RAN WG4 Meeting #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="002D4BF6">
        <w:rPr>
          <w:rFonts w:eastAsia="SimSun" w:cs="Arial"/>
          <w:b/>
          <w:sz w:val="24"/>
          <w:szCs w:val="24"/>
          <w:lang w:eastAsia="zh-CN"/>
        </w:rPr>
        <w:t>3</w:t>
      </w:r>
      <w:r w:rsidRPr="00F644CF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                                                                     </w:t>
      </w:r>
      <w:r w:rsidR="002D4BF6" w:rsidRPr="002D4BF6">
        <w:rPr>
          <w:rFonts w:cs="Arial"/>
          <w:b/>
          <w:sz w:val="24"/>
          <w:szCs w:val="24"/>
        </w:rPr>
        <w:t>R4-191393</w:t>
      </w:r>
      <w:r w:rsidR="004E1B97">
        <w:rPr>
          <w:rFonts w:cs="Arial"/>
          <w:b/>
          <w:sz w:val="24"/>
          <w:szCs w:val="24"/>
        </w:rPr>
        <w:t>5</w:t>
      </w:r>
    </w:p>
    <w:p w14:paraId="6491356E" w14:textId="51DAE827" w:rsidR="00A445AF" w:rsidRPr="00F644CF" w:rsidRDefault="002D4BF6" w:rsidP="00A445A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Reno, Nevada</w:t>
      </w:r>
      <w:r w:rsidR="00A445AF"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18</w:t>
      </w:r>
      <w:r w:rsidR="00A445AF" w:rsidRPr="0022145D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A445AF">
        <w:rPr>
          <w:rFonts w:eastAsia="SimSun"/>
          <w:b/>
          <w:sz w:val="24"/>
          <w:szCs w:val="24"/>
          <w:lang w:eastAsia="zh-CN"/>
        </w:rPr>
        <w:t>–</w:t>
      </w:r>
      <w:r w:rsidR="00A445AF"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22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 w:rsidR="00A445AF">
        <w:rPr>
          <w:rFonts w:eastAsia="SimSun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/>
          <w:b/>
          <w:sz w:val="24"/>
          <w:szCs w:val="24"/>
          <w:lang w:eastAsia="zh-CN"/>
        </w:rPr>
        <w:t>Nov</w:t>
      </w:r>
      <w:r w:rsidR="00A445AF" w:rsidRPr="00F644CF">
        <w:rPr>
          <w:rFonts w:eastAsia="SimSun"/>
          <w:b/>
          <w:sz w:val="24"/>
          <w:szCs w:val="24"/>
          <w:lang w:eastAsia="zh-CN"/>
        </w:rPr>
        <w:t>,</w:t>
      </w:r>
      <w:proofErr w:type="gramEnd"/>
      <w:r w:rsidR="00A445AF" w:rsidRPr="00F644CF">
        <w:rPr>
          <w:rFonts w:eastAsia="SimSun"/>
          <w:b/>
          <w:sz w:val="24"/>
          <w:szCs w:val="24"/>
          <w:lang w:eastAsia="zh-CN"/>
        </w:rPr>
        <w:t xml:space="preserve"> 201</w:t>
      </w:r>
      <w:r w:rsidR="00A445AF">
        <w:rPr>
          <w:rFonts w:eastAsia="SimSun"/>
          <w:b/>
          <w:sz w:val="24"/>
          <w:szCs w:val="24"/>
          <w:lang w:eastAsia="zh-CN"/>
        </w:rPr>
        <w:t>9</w:t>
      </w:r>
    </w:p>
    <w:p w14:paraId="228C4B2E" w14:textId="77777777" w:rsidR="0015319D" w:rsidRDefault="0015319D" w:rsidP="002D479B">
      <w:pPr>
        <w:ind w:left="1800" w:hanging="1800"/>
        <w:rPr>
          <w:b/>
          <w:sz w:val="24"/>
          <w:szCs w:val="24"/>
        </w:rPr>
      </w:pPr>
    </w:p>
    <w:p w14:paraId="7B2CECD6" w14:textId="75CB2B36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bookmarkStart w:id="0" w:name="Source"/>
      <w:bookmarkEnd w:id="0"/>
      <w:r w:rsidR="00E67F4E" w:rsidRPr="0015319D">
        <w:rPr>
          <w:b/>
          <w:sz w:val="24"/>
          <w:szCs w:val="24"/>
        </w:rPr>
        <w:t xml:space="preserve">   </w:t>
      </w:r>
      <w:r w:rsidR="00A445AF">
        <w:rPr>
          <w:b/>
          <w:sz w:val="24"/>
          <w:szCs w:val="24"/>
        </w:rPr>
        <w:t>9</w:t>
      </w:r>
      <w:r w:rsidR="00FD6C05">
        <w:rPr>
          <w:b/>
          <w:sz w:val="24"/>
          <w:szCs w:val="24"/>
        </w:rPr>
        <w:t>.5.</w:t>
      </w:r>
      <w:r w:rsidR="00D96A5A">
        <w:rPr>
          <w:b/>
          <w:sz w:val="24"/>
          <w:szCs w:val="24"/>
        </w:rPr>
        <w:t>3</w:t>
      </w:r>
    </w:p>
    <w:p w14:paraId="0586D8BD" w14:textId="77777777" w:rsidR="00CE0C9D" w:rsidRPr="0015319D" w:rsidRDefault="00E67F4E" w:rsidP="002D479B">
      <w:pPr>
        <w:ind w:left="1800" w:hanging="18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Source:            </w:t>
      </w:r>
      <w:r w:rsidR="00AB7FC6" w:rsidRPr="00212204">
        <w:rPr>
          <w:b/>
          <w:sz w:val="24"/>
          <w:szCs w:val="24"/>
        </w:rPr>
        <w:t>AT&amp;T</w:t>
      </w:r>
    </w:p>
    <w:p w14:paraId="21357C0A" w14:textId="566D1EC0" w:rsidR="00812560" w:rsidRDefault="0060603E" w:rsidP="0015319D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15319D">
        <w:rPr>
          <w:b/>
          <w:sz w:val="24"/>
          <w:szCs w:val="24"/>
        </w:rPr>
        <w:t xml:space="preserve">                 </w:t>
      </w:r>
      <w:r w:rsidR="00D96A5A" w:rsidRPr="00D96A5A">
        <w:rPr>
          <w:b/>
          <w:sz w:val="24"/>
          <w:szCs w:val="24"/>
        </w:rPr>
        <w:t>IAB DC and CA requirements</w:t>
      </w:r>
    </w:p>
    <w:p w14:paraId="1BE45A03" w14:textId="77777777" w:rsidR="002D479B" w:rsidRPr="00812560" w:rsidRDefault="0060603E" w:rsidP="0015319D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Document for</w:t>
      </w:r>
      <w:bookmarkStart w:id="1" w:name="DocumentFor"/>
      <w:bookmarkEnd w:id="1"/>
      <w:r w:rsidR="00E67F4E">
        <w:rPr>
          <w:b/>
          <w:sz w:val="24"/>
          <w:szCs w:val="24"/>
        </w:rPr>
        <w:t xml:space="preserve">: </w:t>
      </w:r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225DD86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0544449C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2708CFF1" w14:textId="453EE680" w:rsidR="002122D0" w:rsidRPr="00233D70" w:rsidRDefault="002122D0" w:rsidP="002122D0">
      <w:pPr>
        <w:pStyle w:val="maintext"/>
        <w:ind w:firstLine="400"/>
        <w:rPr>
          <w:rFonts w:ascii="Calibri" w:hAnsi="Calibri"/>
        </w:rPr>
      </w:pPr>
      <w:bookmarkStart w:id="2" w:name="_Hlk7433984"/>
      <w:r w:rsidRPr="004131D6">
        <w:rPr>
          <w:rFonts w:ascii="Calibri" w:hAnsi="Calibri"/>
        </w:rPr>
        <w:t>As part of the Work Item on Integrated Access and Backhaul for NR [1], 3GPP has agreed to support solutions for efficient operation of integrated access and wireless backhaul for NR</w:t>
      </w:r>
      <w:r>
        <w:rPr>
          <w:rFonts w:ascii="Calibri" w:hAnsi="Calibri"/>
        </w:rPr>
        <w:t>.</w:t>
      </w:r>
      <w:r w:rsidRPr="004131D6">
        <w:rPr>
          <w:rFonts w:ascii="Calibri" w:hAnsi="Calibri"/>
        </w:rPr>
        <w:t xml:space="preserve"> </w:t>
      </w:r>
      <w:r w:rsidRPr="00233D70">
        <w:rPr>
          <w:rFonts w:ascii="Calibri" w:hAnsi="Calibri"/>
        </w:rPr>
        <w:t>This d</w:t>
      </w:r>
      <w:r>
        <w:rPr>
          <w:rFonts w:ascii="Calibri" w:hAnsi="Calibri"/>
        </w:rPr>
        <w:t xml:space="preserve">ocument provides an overview of the key </w:t>
      </w:r>
      <w:r w:rsidR="00D96A5A">
        <w:rPr>
          <w:rFonts w:ascii="Calibri" w:hAnsi="Calibri"/>
        </w:rPr>
        <w:t>dual connectivity (DC) and carrier aggregation (CA)</w:t>
      </w:r>
      <w:r>
        <w:rPr>
          <w:rFonts w:ascii="Calibri" w:hAnsi="Calibri"/>
        </w:rPr>
        <w:t xml:space="preserve"> requirements for IAB nodes.</w:t>
      </w:r>
    </w:p>
    <w:bookmarkEnd w:id="2"/>
    <w:p w14:paraId="181E1E08" w14:textId="63415596" w:rsidR="00346605" w:rsidRPr="00172743" w:rsidRDefault="00031603" w:rsidP="00326FF6">
      <w:pPr>
        <w:pStyle w:val="Heading1"/>
      </w:pPr>
      <w:r>
        <w:t xml:space="preserve">IAB </w:t>
      </w:r>
      <w:r w:rsidR="00D96A5A">
        <w:t>DC</w:t>
      </w:r>
      <w:r>
        <w:t xml:space="preserve"> </w:t>
      </w:r>
      <w:r w:rsidR="00E420FA">
        <w:t xml:space="preserve">and </w:t>
      </w:r>
      <w:r>
        <w:t>Requirements</w:t>
      </w:r>
    </w:p>
    <w:p w14:paraId="55282D23" w14:textId="370B0401" w:rsidR="00D96A5A" w:rsidRDefault="00325E21" w:rsidP="000D13BC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As noted in the 38.300 running CR for IAB [</w:t>
      </w:r>
      <w:r w:rsidR="00D96A5A">
        <w:rPr>
          <w:rFonts w:ascii="Calibri" w:hAnsi="Calibri"/>
        </w:rPr>
        <w:t>2</w:t>
      </w:r>
      <w:r>
        <w:rPr>
          <w:rFonts w:ascii="Calibri" w:hAnsi="Calibri"/>
        </w:rPr>
        <w:t xml:space="preserve">], </w:t>
      </w:r>
      <w:r w:rsidR="00D96A5A">
        <w:rPr>
          <w:rFonts w:ascii="Calibri" w:hAnsi="Calibri"/>
        </w:rPr>
        <w:t xml:space="preserve">different architecture options are supported for IAB, where the IAB-MT can connect to the network in </w:t>
      </w:r>
      <w:proofErr w:type="gramStart"/>
      <w:r w:rsidR="00D96A5A">
        <w:rPr>
          <w:rFonts w:ascii="Calibri" w:hAnsi="Calibri"/>
        </w:rPr>
        <w:t>a</w:t>
      </w:r>
      <w:proofErr w:type="gramEnd"/>
      <w:r w:rsidR="00D96A5A">
        <w:rPr>
          <w:rFonts w:ascii="Calibri" w:hAnsi="Calibri"/>
        </w:rPr>
        <w:t xml:space="preserve"> NSA (i.e. EN-DC) or SA mode:</w:t>
      </w:r>
    </w:p>
    <w:p w14:paraId="7F0A842D" w14:textId="77777777" w:rsidR="00D96A5A" w:rsidRPr="002C1D33" w:rsidRDefault="00D96A5A" w:rsidP="00D96A5A">
      <w:pPr>
        <w:ind w:left="720"/>
        <w:rPr>
          <w:rFonts w:ascii="Times New Roman" w:hAnsi="Times New Roman"/>
          <w:lang w:eastAsia="ja-JP"/>
        </w:rPr>
      </w:pPr>
      <w:r w:rsidRPr="002C1D33">
        <w:rPr>
          <w:rFonts w:ascii="Times New Roman" w:hAnsi="Times New Roman"/>
          <w:lang w:eastAsia="ja-JP"/>
        </w:rPr>
        <w:t xml:space="preserve">The IAB-node can access the network using either SA-mode or EN-DC. In EN-DC, the IAB-node also connects via E-UTRA to a </w:t>
      </w:r>
      <w:proofErr w:type="spellStart"/>
      <w:r w:rsidRPr="002C1D33">
        <w:rPr>
          <w:rFonts w:ascii="Times New Roman" w:hAnsi="Times New Roman"/>
          <w:lang w:eastAsia="ja-JP"/>
        </w:rPr>
        <w:t>MeNB</w:t>
      </w:r>
      <w:proofErr w:type="spellEnd"/>
      <w:r w:rsidRPr="002C1D33">
        <w:rPr>
          <w:rFonts w:ascii="Times New Roman" w:hAnsi="Times New Roman"/>
          <w:lang w:eastAsia="ja-JP"/>
        </w:rPr>
        <w:t xml:space="preserve">, and the IAB-donor terminates X2-C as </w:t>
      </w:r>
      <w:proofErr w:type="spellStart"/>
      <w:r w:rsidRPr="002C1D33">
        <w:rPr>
          <w:rFonts w:ascii="Times New Roman" w:hAnsi="Times New Roman"/>
          <w:lang w:eastAsia="ja-JP"/>
        </w:rPr>
        <w:t>SgNB</w:t>
      </w:r>
      <w:proofErr w:type="spellEnd"/>
      <w:r w:rsidRPr="002C1D33">
        <w:rPr>
          <w:rFonts w:ascii="Times New Roman" w:hAnsi="Times New Roman"/>
          <w:lang w:eastAsia="ja-JP"/>
        </w:rPr>
        <w:t>.</w:t>
      </w:r>
    </w:p>
    <w:p w14:paraId="09C64A33" w14:textId="77777777" w:rsidR="00012E1F" w:rsidRPr="00012E1F" w:rsidRDefault="00012E1F" w:rsidP="00012E1F">
      <w:pPr>
        <w:pStyle w:val="Doc-text2"/>
        <w:ind w:left="1008" w:firstLine="0"/>
        <w:rPr>
          <w:rFonts w:ascii="Times New Roman" w:hAnsi="Times New Roman"/>
          <w:sz w:val="16"/>
          <w:szCs w:val="21"/>
        </w:rPr>
      </w:pPr>
    </w:p>
    <w:p w14:paraId="2BFC5103" w14:textId="30AE0D89" w:rsidR="00D96A5A" w:rsidRDefault="00D96A5A" w:rsidP="000D13BC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In addition, redundant backhaul routes are supported in Rel-16 based on the existing NR DC framework:</w:t>
      </w:r>
    </w:p>
    <w:p w14:paraId="72300943" w14:textId="77777777" w:rsidR="00D96A5A" w:rsidRDefault="00D96A5A" w:rsidP="00D96A5A">
      <w:pPr>
        <w:pStyle w:val="Heading4"/>
        <w:numPr>
          <w:ilvl w:val="0"/>
          <w:numId w:val="0"/>
        </w:numPr>
        <w:ind w:left="1584" w:hanging="864"/>
      </w:pPr>
      <w:r>
        <w:t>4.x.4.3</w:t>
      </w:r>
      <w:r>
        <w:tab/>
        <w:t>Topological redundancy</w:t>
      </w:r>
    </w:p>
    <w:p w14:paraId="37E0437B" w14:textId="77777777" w:rsidR="00D96A5A" w:rsidRPr="008C73D3" w:rsidRDefault="00D96A5A" w:rsidP="00D96A5A">
      <w:pPr>
        <w:pStyle w:val="Doc-text2"/>
        <w:ind w:left="720" w:firstLine="0"/>
        <w:rPr>
          <w:rFonts w:ascii="Times New Roman" w:hAnsi="Times New Roman"/>
        </w:rPr>
      </w:pPr>
      <w:r w:rsidRPr="008C73D3">
        <w:rPr>
          <w:rFonts w:ascii="Times New Roman" w:hAnsi="Times New Roman"/>
        </w:rPr>
        <w:t>The IAB-node may have redundant routes with the IAB-donor CU.</w:t>
      </w:r>
    </w:p>
    <w:p w14:paraId="31898E24" w14:textId="77777777" w:rsidR="00D96A5A" w:rsidRDefault="00D96A5A" w:rsidP="00D96A5A">
      <w:pPr>
        <w:pStyle w:val="Doc-text2"/>
        <w:ind w:left="720" w:firstLine="0"/>
        <w:rPr>
          <w:rFonts w:ascii="Times New Roman" w:hAnsi="Times New Roman"/>
        </w:rPr>
      </w:pPr>
    </w:p>
    <w:p w14:paraId="051EC75C" w14:textId="77777777" w:rsidR="00D96A5A" w:rsidRDefault="00D96A5A" w:rsidP="00D96A5A">
      <w:pPr>
        <w:pStyle w:val="Doc-text2"/>
        <w:ind w:left="72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F</w:t>
      </w:r>
      <w:r w:rsidRPr="008C73D3">
        <w:rPr>
          <w:rFonts w:ascii="Times New Roman" w:hAnsi="Times New Roman"/>
        </w:rPr>
        <w:t>or IAB-nodes operating in SA-mode</w:t>
      </w:r>
      <w:r>
        <w:rPr>
          <w:rFonts w:ascii="Times New Roman" w:hAnsi="Times New Roman"/>
        </w:rPr>
        <w:t>,</w:t>
      </w:r>
      <w:r w:rsidRPr="008C73D3">
        <w:rPr>
          <w:rFonts w:ascii="Times New Roman" w:hAnsi="Times New Roman"/>
        </w:rPr>
        <w:t xml:space="preserve"> NR DC is used to enable route redundancy</w:t>
      </w:r>
      <w:r>
        <w:rPr>
          <w:rFonts w:ascii="Times New Roman" w:hAnsi="Times New Roman"/>
        </w:rPr>
        <w:t xml:space="preserve"> in the BH by allowing the IAB- MT to have concurrent BH RLC channels with two parent nodes. The parent nodes have to be connected to the same IAB-donor CU-CP, which</w:t>
      </w:r>
      <w:r w:rsidRPr="008C73D3">
        <w:rPr>
          <w:rFonts w:ascii="Times New Roman" w:hAnsi="Times New Roman"/>
        </w:rPr>
        <w:t xml:space="preserve"> controls the establishment and release of redundant routes</w:t>
      </w:r>
      <w:r w:rsidRPr="004E536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via these two parent nodes</w:t>
      </w:r>
      <w:r w:rsidRPr="008C73D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 xml:space="preserve">The parent nodes together with the IAB-donor CU obtain the roles of the IAB-MT’s MN and SN. </w:t>
      </w:r>
      <w:r>
        <w:rPr>
          <w:rFonts w:ascii="Times New Roman" w:hAnsi="Times New Roman"/>
        </w:rPr>
        <w:t>The N</w:t>
      </w:r>
      <w:r w:rsidRPr="008C73D3">
        <w:rPr>
          <w:rFonts w:ascii="Times New Roman" w:hAnsi="Times New Roman"/>
          <w:lang w:val="en-US"/>
        </w:rPr>
        <w:t>R DC framework (e.g. MCG</w:t>
      </w:r>
      <w:r>
        <w:rPr>
          <w:rFonts w:ascii="Times New Roman" w:hAnsi="Times New Roman"/>
          <w:lang w:val="en-US"/>
        </w:rPr>
        <w:t>/</w:t>
      </w:r>
      <w:r w:rsidRPr="008C73D3">
        <w:rPr>
          <w:rFonts w:ascii="Times New Roman" w:hAnsi="Times New Roman"/>
          <w:lang w:val="en-US"/>
        </w:rPr>
        <w:t>SCG</w:t>
      </w:r>
      <w:r>
        <w:rPr>
          <w:rFonts w:ascii="Times New Roman" w:hAnsi="Times New Roman"/>
          <w:lang w:val="en-US"/>
        </w:rPr>
        <w:t>-</w:t>
      </w:r>
      <w:r w:rsidRPr="008C73D3">
        <w:rPr>
          <w:rFonts w:ascii="Times New Roman" w:hAnsi="Times New Roman"/>
          <w:lang w:val="en-US"/>
        </w:rPr>
        <w:t xml:space="preserve">related procedures) is used to configure </w:t>
      </w:r>
      <w:r>
        <w:rPr>
          <w:rFonts w:ascii="Times New Roman" w:hAnsi="Times New Roman"/>
          <w:lang w:val="en-US"/>
        </w:rPr>
        <w:t xml:space="preserve">the </w:t>
      </w:r>
      <w:r w:rsidRPr="008C73D3">
        <w:rPr>
          <w:rFonts w:ascii="Times New Roman" w:hAnsi="Times New Roman"/>
          <w:lang w:val="en-US"/>
        </w:rPr>
        <w:t xml:space="preserve">dual radio links with </w:t>
      </w:r>
      <w:r>
        <w:rPr>
          <w:rFonts w:ascii="Times New Roman" w:hAnsi="Times New Roman"/>
          <w:lang w:val="en-US"/>
        </w:rPr>
        <w:t>the</w:t>
      </w:r>
      <w:r w:rsidRPr="008C73D3">
        <w:rPr>
          <w:rFonts w:ascii="Times New Roman" w:hAnsi="Times New Roman"/>
          <w:lang w:val="en-US"/>
        </w:rPr>
        <w:t xml:space="preserve"> parent nodes</w:t>
      </w:r>
      <w:r>
        <w:rPr>
          <w:rFonts w:ascii="Times New Roman" w:hAnsi="Times New Roman"/>
          <w:lang w:val="en-US"/>
        </w:rPr>
        <w:t xml:space="preserve"> (TS 37.340 [</w:t>
      </w:r>
      <w:proofErr w:type="spellStart"/>
      <w:r>
        <w:rPr>
          <w:rFonts w:ascii="Times New Roman" w:hAnsi="Times New Roman"/>
          <w:lang w:val="en-US"/>
        </w:rPr>
        <w:t>zz</w:t>
      </w:r>
      <w:proofErr w:type="spellEnd"/>
      <w:r>
        <w:rPr>
          <w:rFonts w:ascii="Times New Roman" w:hAnsi="Times New Roman"/>
          <w:lang w:val="en-US"/>
        </w:rPr>
        <w:t>])</w:t>
      </w:r>
      <w:r w:rsidRPr="008C73D3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 xml:space="preserve"> </w:t>
      </w:r>
    </w:p>
    <w:p w14:paraId="25E58BC7" w14:textId="5F00C178" w:rsidR="00D96A5A" w:rsidRDefault="00D96A5A" w:rsidP="000D13BC">
      <w:pPr>
        <w:pStyle w:val="maintext"/>
        <w:ind w:firstLineChars="0" w:firstLine="0"/>
        <w:rPr>
          <w:rFonts w:ascii="Calibri" w:hAnsi="Calibri"/>
        </w:rPr>
      </w:pPr>
    </w:p>
    <w:p w14:paraId="3B0AFC2D" w14:textId="1864CF4E" w:rsidR="00AB609C" w:rsidRDefault="00AB609C" w:rsidP="000D13BC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Finally, especially in FR2, due to the larger processing capabilities and dedicated power supplies, it is expected that IAB nodes will be capable of both intra-frequency and inter-frequency CA for the IAB-MTs to fully realize the backhaul link capacity, independently of what is supported for the access UEs which may be limited to a single component carrier due to processing or power saving considerations.</w:t>
      </w:r>
    </w:p>
    <w:p w14:paraId="6E71A379" w14:textId="77777777" w:rsidR="00AB609C" w:rsidRDefault="00AB609C" w:rsidP="000D13BC">
      <w:pPr>
        <w:pStyle w:val="maintext"/>
        <w:ind w:firstLineChars="0" w:firstLine="0"/>
        <w:rPr>
          <w:rFonts w:ascii="Calibri" w:hAnsi="Calibri"/>
        </w:rPr>
      </w:pPr>
    </w:p>
    <w:p w14:paraId="3AB852DC" w14:textId="4CFB3BC4" w:rsidR="00D96A5A" w:rsidRDefault="00E420FA" w:rsidP="000D13BC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As a result, </w:t>
      </w:r>
      <w:r w:rsidR="00AB609C">
        <w:rPr>
          <w:rFonts w:ascii="Calibri" w:hAnsi="Calibri"/>
        </w:rPr>
        <w:t xml:space="preserve">to support these deployment scenarios and use cases for IAB in Rel-16, RAN4 should define </w:t>
      </w:r>
      <w:r>
        <w:rPr>
          <w:rFonts w:ascii="Calibri" w:hAnsi="Calibri"/>
        </w:rPr>
        <w:t>operating bands and bandwidth classes for IAB-MTs based on the existing framework</w:t>
      </w:r>
      <w:r w:rsidR="00246117">
        <w:rPr>
          <w:rFonts w:ascii="Calibri" w:hAnsi="Calibri"/>
        </w:rPr>
        <w:t xml:space="preserve"> for regular BS/UEs</w:t>
      </w:r>
      <w:r>
        <w:rPr>
          <w:rFonts w:ascii="Calibri" w:hAnsi="Calibri"/>
        </w:rPr>
        <w:t xml:space="preserve"> </w:t>
      </w:r>
      <w:r w:rsidR="00AB609C">
        <w:rPr>
          <w:rFonts w:ascii="Calibri" w:hAnsi="Calibri"/>
        </w:rPr>
        <w:t>(e.g. 38.101-2 Section 5.2A and 3</w:t>
      </w:r>
      <w:r>
        <w:rPr>
          <w:rFonts w:ascii="Calibri" w:hAnsi="Calibri"/>
        </w:rPr>
        <w:t>8.101-3 Section 5.5B</w:t>
      </w:r>
      <w:r w:rsidR="00AB609C">
        <w:rPr>
          <w:rFonts w:ascii="Calibri" w:hAnsi="Calibri"/>
        </w:rPr>
        <w:t>)</w:t>
      </w:r>
      <w:r>
        <w:rPr>
          <w:rFonts w:ascii="Calibri" w:hAnsi="Calibri"/>
        </w:rPr>
        <w:t>.</w:t>
      </w:r>
    </w:p>
    <w:p w14:paraId="4998B1C6" w14:textId="75A91A6E" w:rsidR="00110501" w:rsidRDefault="00325E21" w:rsidP="000D13BC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1: </w:t>
      </w:r>
      <w:r>
        <w:rPr>
          <w:rFonts w:ascii="Calibri" w:hAnsi="Calibri"/>
        </w:rPr>
        <w:t xml:space="preserve"> </w:t>
      </w:r>
      <w:r w:rsidR="00AB609C" w:rsidRPr="00AB609C">
        <w:rPr>
          <w:rFonts w:ascii="Calibri" w:hAnsi="Calibri"/>
          <w:b/>
          <w:bCs/>
        </w:rPr>
        <w:t xml:space="preserve">RAN4 should define operating bands and bandwidth classes for IAB-MTs </w:t>
      </w:r>
      <w:r w:rsidR="00AB609C">
        <w:rPr>
          <w:rFonts w:ascii="Calibri" w:hAnsi="Calibri"/>
          <w:b/>
          <w:bCs/>
        </w:rPr>
        <w:t>supporting EN-DC, NR-DC, and inter-frequency</w:t>
      </w:r>
      <w:r w:rsidR="00883A2C">
        <w:rPr>
          <w:rFonts w:ascii="Calibri" w:hAnsi="Calibri"/>
          <w:b/>
          <w:bCs/>
        </w:rPr>
        <w:t>/</w:t>
      </w:r>
      <w:r w:rsidR="00AB609C">
        <w:rPr>
          <w:rFonts w:ascii="Calibri" w:hAnsi="Calibri"/>
          <w:b/>
          <w:bCs/>
        </w:rPr>
        <w:t>intra-frequency CA.</w:t>
      </w:r>
    </w:p>
    <w:p w14:paraId="4B076DC8" w14:textId="770B7FCC" w:rsidR="00AB609C" w:rsidRDefault="00AB609C" w:rsidP="000D13BC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0F32B5C4" w14:textId="77777777" w:rsidR="00AB609C" w:rsidRDefault="00AB609C" w:rsidP="000D13BC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6C378926" w14:textId="77777777" w:rsidR="007338D6" w:rsidRPr="00172743" w:rsidRDefault="003A566A" w:rsidP="00326FF6">
      <w:pPr>
        <w:pStyle w:val="Heading1"/>
      </w:pPr>
      <w:r w:rsidRPr="00172743">
        <w:lastRenderedPageBreak/>
        <w:t>Conclusion</w:t>
      </w:r>
    </w:p>
    <w:p w14:paraId="29956B05" w14:textId="7F455049" w:rsidR="00843F1C" w:rsidRDefault="00843F1C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>Th</w:t>
      </w:r>
      <w:r w:rsidR="00F35911">
        <w:rPr>
          <w:rFonts w:ascii="Calibri" w:hAnsi="Calibri"/>
        </w:rPr>
        <w:t>is</w:t>
      </w:r>
      <w:r>
        <w:rPr>
          <w:rFonts w:ascii="Calibri" w:hAnsi="Calibri"/>
        </w:rPr>
        <w:t xml:space="preserve"> contribution analyzed the</w:t>
      </w:r>
      <w:r w:rsidR="000D13BC">
        <w:rPr>
          <w:rFonts w:ascii="Calibri" w:hAnsi="Calibri"/>
        </w:rPr>
        <w:t xml:space="preserve"> </w:t>
      </w:r>
      <w:r w:rsidR="00246117">
        <w:rPr>
          <w:rFonts w:ascii="Calibri" w:hAnsi="Calibri"/>
        </w:rPr>
        <w:t>DC and CA</w:t>
      </w:r>
      <w:r>
        <w:rPr>
          <w:rFonts w:ascii="Calibri" w:hAnsi="Calibri"/>
        </w:rPr>
        <w:t xml:space="preserve"> requirements for </w:t>
      </w:r>
      <w:r w:rsidR="000D13BC">
        <w:rPr>
          <w:rFonts w:ascii="Calibri" w:hAnsi="Calibri"/>
        </w:rPr>
        <w:t>IAB</w:t>
      </w:r>
      <w:r w:rsidR="000D1C0F">
        <w:rPr>
          <w:rFonts w:ascii="Calibri" w:hAnsi="Calibri"/>
        </w:rPr>
        <w:t>. The following proposal w</w:t>
      </w:r>
      <w:r w:rsidR="00246117">
        <w:rPr>
          <w:rFonts w:ascii="Calibri" w:hAnsi="Calibri"/>
        </w:rPr>
        <w:t>as</w:t>
      </w:r>
      <w:r w:rsidR="000D1C0F">
        <w:rPr>
          <w:rFonts w:ascii="Calibri" w:hAnsi="Calibri"/>
        </w:rPr>
        <w:t xml:space="preserve"> made:</w:t>
      </w:r>
    </w:p>
    <w:p w14:paraId="2641FA7F" w14:textId="0EF3E869" w:rsidR="00F35911" w:rsidRPr="00AB609C" w:rsidRDefault="00AB609C" w:rsidP="00AB609C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1: </w:t>
      </w:r>
      <w:r>
        <w:rPr>
          <w:rFonts w:ascii="Calibri" w:hAnsi="Calibri"/>
        </w:rPr>
        <w:t xml:space="preserve"> </w:t>
      </w:r>
      <w:r w:rsidRPr="00AB609C">
        <w:rPr>
          <w:rFonts w:ascii="Calibri" w:hAnsi="Calibri"/>
          <w:b/>
          <w:bCs/>
        </w:rPr>
        <w:t xml:space="preserve">RAN4 should define operating bands and bandwidth classes for IAB-MTs </w:t>
      </w:r>
      <w:r>
        <w:rPr>
          <w:rFonts w:ascii="Calibri" w:hAnsi="Calibri"/>
          <w:b/>
          <w:bCs/>
        </w:rPr>
        <w:t>supporting EN-DC, NR-DC, and inter-frequency</w:t>
      </w:r>
      <w:r w:rsidR="00883A2C">
        <w:rPr>
          <w:rFonts w:ascii="Calibri" w:hAnsi="Calibri"/>
          <w:b/>
          <w:bCs/>
        </w:rPr>
        <w:t>/</w:t>
      </w:r>
      <w:bookmarkStart w:id="3" w:name="_GoBack"/>
      <w:bookmarkEnd w:id="3"/>
      <w:r>
        <w:rPr>
          <w:rFonts w:ascii="Calibri" w:hAnsi="Calibri"/>
          <w:b/>
          <w:bCs/>
        </w:rPr>
        <w:t>intra-frequency CA.</w:t>
      </w:r>
    </w:p>
    <w:p w14:paraId="4C33A032" w14:textId="77777777" w:rsidR="00FE6C15" w:rsidRPr="0076067D" w:rsidRDefault="00FE6C15" w:rsidP="0076067D">
      <w:pPr>
        <w:pStyle w:val="Heading1"/>
      </w:pPr>
      <w:r>
        <w:t>Reference</w:t>
      </w:r>
    </w:p>
    <w:p w14:paraId="739571A2" w14:textId="33ECC2D3" w:rsidR="008D2EE5" w:rsidRDefault="003B2E8D" w:rsidP="003B2E8D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RP-182882, New WID: Integrated Access and Backhaul for NR, Qualcomm</w:t>
      </w:r>
    </w:p>
    <w:p w14:paraId="7AE20337" w14:textId="330B9931" w:rsidR="004046E1" w:rsidRPr="003B2E8D" w:rsidRDefault="00AB609C" w:rsidP="003B2E8D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Arial"/>
        </w:rPr>
        <w:t xml:space="preserve"> </w:t>
      </w:r>
      <w:r w:rsidR="004046E1">
        <w:rPr>
          <w:rFonts w:cs="Arial"/>
        </w:rPr>
        <w:t xml:space="preserve">[3] </w:t>
      </w:r>
      <w:r w:rsidR="004046E1" w:rsidRPr="00385F27">
        <w:rPr>
          <w:rFonts w:cs="Arial"/>
        </w:rPr>
        <w:t>R2-1913998</w:t>
      </w:r>
      <w:r w:rsidR="004046E1">
        <w:rPr>
          <w:rFonts w:cs="Arial"/>
        </w:rPr>
        <w:t>, IAB Running CR for 38.300, Qualcomm</w:t>
      </w:r>
    </w:p>
    <w:sectPr w:rsidR="004046E1" w:rsidRPr="003B2E8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F1F06" w14:textId="77777777" w:rsidR="00743CEF" w:rsidRDefault="00743CEF" w:rsidP="00424124">
      <w:pPr>
        <w:spacing w:before="0" w:after="0"/>
      </w:pPr>
      <w:r>
        <w:separator/>
      </w:r>
    </w:p>
  </w:endnote>
  <w:endnote w:type="continuationSeparator" w:id="0">
    <w:p w14:paraId="357D4A0F" w14:textId="77777777" w:rsidR="00743CEF" w:rsidRDefault="00743CEF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20CD3" w14:textId="77777777" w:rsidR="00743CEF" w:rsidRDefault="00743CEF" w:rsidP="00424124">
      <w:pPr>
        <w:spacing w:before="0" w:after="0"/>
      </w:pPr>
      <w:r>
        <w:separator/>
      </w:r>
    </w:p>
  </w:footnote>
  <w:footnote w:type="continuationSeparator" w:id="0">
    <w:p w14:paraId="22439963" w14:textId="77777777" w:rsidR="00743CEF" w:rsidRDefault="00743CEF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>
      <w:start w:val="1"/>
      <w:numFmt w:val="lowerRoman"/>
      <w:lvlText w:val="%6."/>
      <w:lvlJc w:val="right"/>
      <w:pPr>
        <w:ind w:left="4720" w:hanging="180"/>
      </w:pPr>
    </w:lvl>
    <w:lvl w:ilvl="6" w:tplc="0409000F">
      <w:start w:val="1"/>
      <w:numFmt w:val="decimal"/>
      <w:lvlText w:val="%7."/>
      <w:lvlJc w:val="left"/>
      <w:pPr>
        <w:ind w:left="5440" w:hanging="360"/>
      </w:pPr>
    </w:lvl>
    <w:lvl w:ilvl="7" w:tplc="04090019">
      <w:start w:val="1"/>
      <w:numFmt w:val="lowerLetter"/>
      <w:lvlText w:val="%8."/>
      <w:lvlJc w:val="left"/>
      <w:pPr>
        <w:ind w:left="6160" w:hanging="360"/>
      </w:pPr>
    </w:lvl>
    <w:lvl w:ilvl="8" w:tplc="0409001B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E311ACA"/>
    <w:multiLevelType w:val="hybridMultilevel"/>
    <w:tmpl w:val="D1309562"/>
    <w:lvl w:ilvl="0" w:tplc="635AD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42CC0">
      <w:start w:val="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484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78E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68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8D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E6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A1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0D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C6734E"/>
    <w:multiLevelType w:val="hybridMultilevel"/>
    <w:tmpl w:val="A4142678"/>
    <w:lvl w:ilvl="0" w:tplc="337C7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0DA48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A4A4C">
      <w:start w:val="1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8E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CB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2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B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AC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C4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1B4F11"/>
    <w:multiLevelType w:val="hybridMultilevel"/>
    <w:tmpl w:val="EBB41D9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360F92"/>
    <w:multiLevelType w:val="hybridMultilevel"/>
    <w:tmpl w:val="068EC964"/>
    <w:lvl w:ilvl="0" w:tplc="8DCC35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AD0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84D3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4C59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AE39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8429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249E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E214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90B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B3365A"/>
    <w:multiLevelType w:val="hybridMultilevel"/>
    <w:tmpl w:val="9C026B3E"/>
    <w:lvl w:ilvl="0" w:tplc="9EC097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8279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F4D4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6A0F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D8A7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AC0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5C9D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EAE2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BE28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94E81"/>
    <w:multiLevelType w:val="hybridMultilevel"/>
    <w:tmpl w:val="F59852B0"/>
    <w:lvl w:ilvl="0" w:tplc="A82C3D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ECB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F656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8F6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4016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42AF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7631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4CC8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DC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6477EC"/>
    <w:multiLevelType w:val="hybridMultilevel"/>
    <w:tmpl w:val="EB965CC6"/>
    <w:lvl w:ilvl="0" w:tplc="7E9EEF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381F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1A32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1827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6461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F0C2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383A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7672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CABD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BFD5584"/>
    <w:multiLevelType w:val="hybridMultilevel"/>
    <w:tmpl w:val="F9C8F262"/>
    <w:lvl w:ilvl="0" w:tplc="6352D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F405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BAA8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C6DE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268A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448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0442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942A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8278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60990803"/>
    <w:multiLevelType w:val="hybridMultilevel"/>
    <w:tmpl w:val="329C15F4"/>
    <w:lvl w:ilvl="0" w:tplc="ADB0CF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DC27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C865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70A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2C6F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6C1C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F099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9488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42FD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8232FF7"/>
    <w:multiLevelType w:val="hybridMultilevel"/>
    <w:tmpl w:val="9AF66C88"/>
    <w:lvl w:ilvl="0" w:tplc="0DF0ED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41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0EA7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F20D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A2CE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C075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68DD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AC8D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2DE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7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12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"/>
  </w:num>
  <w:num w:numId="13">
    <w:abstractNumId w:val="4"/>
  </w:num>
  <w:num w:numId="14">
    <w:abstractNumId w:val="13"/>
  </w:num>
  <w:num w:numId="15">
    <w:abstractNumId w:val="18"/>
  </w:num>
  <w:num w:numId="16">
    <w:abstractNumId w:val="10"/>
  </w:num>
  <w:num w:numId="17">
    <w:abstractNumId w:val="8"/>
  </w:num>
  <w:num w:numId="18">
    <w:abstractNumId w:val="19"/>
  </w:num>
  <w:num w:numId="19">
    <w:abstractNumId w:val="16"/>
  </w:num>
  <w:num w:numId="20">
    <w:abstractNumId w:val="15"/>
  </w:num>
  <w:num w:numId="2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124"/>
    <w:rsid w:val="00001127"/>
    <w:rsid w:val="00001BBA"/>
    <w:rsid w:val="000052FF"/>
    <w:rsid w:val="00012E1F"/>
    <w:rsid w:val="0001485D"/>
    <w:rsid w:val="000149EC"/>
    <w:rsid w:val="00017866"/>
    <w:rsid w:val="00020F1A"/>
    <w:rsid w:val="00031603"/>
    <w:rsid w:val="00032C70"/>
    <w:rsid w:val="00032D47"/>
    <w:rsid w:val="000337FD"/>
    <w:rsid w:val="00044F7E"/>
    <w:rsid w:val="000463E4"/>
    <w:rsid w:val="00051B4B"/>
    <w:rsid w:val="000550BC"/>
    <w:rsid w:val="0005518A"/>
    <w:rsid w:val="000643FA"/>
    <w:rsid w:val="000730C9"/>
    <w:rsid w:val="0007523A"/>
    <w:rsid w:val="0007575F"/>
    <w:rsid w:val="00075FD1"/>
    <w:rsid w:val="0008192E"/>
    <w:rsid w:val="00084E8C"/>
    <w:rsid w:val="00085800"/>
    <w:rsid w:val="000865E3"/>
    <w:rsid w:val="000917C5"/>
    <w:rsid w:val="000A36A9"/>
    <w:rsid w:val="000B0720"/>
    <w:rsid w:val="000B58C4"/>
    <w:rsid w:val="000B5AA9"/>
    <w:rsid w:val="000B6D99"/>
    <w:rsid w:val="000C21D0"/>
    <w:rsid w:val="000C5494"/>
    <w:rsid w:val="000C57B9"/>
    <w:rsid w:val="000C75A4"/>
    <w:rsid w:val="000D13BC"/>
    <w:rsid w:val="000D1C0F"/>
    <w:rsid w:val="000D38DC"/>
    <w:rsid w:val="000E0384"/>
    <w:rsid w:val="000E29D8"/>
    <w:rsid w:val="000E357F"/>
    <w:rsid w:val="0010303E"/>
    <w:rsid w:val="00110501"/>
    <w:rsid w:val="0011327D"/>
    <w:rsid w:val="00116DA6"/>
    <w:rsid w:val="00117F7E"/>
    <w:rsid w:val="001231C8"/>
    <w:rsid w:val="00124646"/>
    <w:rsid w:val="0013088E"/>
    <w:rsid w:val="00131A07"/>
    <w:rsid w:val="00137E15"/>
    <w:rsid w:val="001417A8"/>
    <w:rsid w:val="00144CB3"/>
    <w:rsid w:val="0015319D"/>
    <w:rsid w:val="00153793"/>
    <w:rsid w:val="00171B55"/>
    <w:rsid w:val="00172743"/>
    <w:rsid w:val="001A48EC"/>
    <w:rsid w:val="001A5A68"/>
    <w:rsid w:val="001A6212"/>
    <w:rsid w:val="001A75E0"/>
    <w:rsid w:val="001B731B"/>
    <w:rsid w:val="001C0E9F"/>
    <w:rsid w:val="001C2009"/>
    <w:rsid w:val="001C699C"/>
    <w:rsid w:val="001E0CE1"/>
    <w:rsid w:val="001E58CC"/>
    <w:rsid w:val="001F59ED"/>
    <w:rsid w:val="001F768F"/>
    <w:rsid w:val="0021167B"/>
    <w:rsid w:val="00211D37"/>
    <w:rsid w:val="00212204"/>
    <w:rsid w:val="002122D0"/>
    <w:rsid w:val="00216763"/>
    <w:rsid w:val="00222269"/>
    <w:rsid w:val="00233D70"/>
    <w:rsid w:val="00235373"/>
    <w:rsid w:val="00241795"/>
    <w:rsid w:val="00242080"/>
    <w:rsid w:val="00246117"/>
    <w:rsid w:val="00246D61"/>
    <w:rsid w:val="0024786A"/>
    <w:rsid w:val="0025058B"/>
    <w:rsid w:val="00262116"/>
    <w:rsid w:val="002641FE"/>
    <w:rsid w:val="00265254"/>
    <w:rsid w:val="002655AD"/>
    <w:rsid w:val="0026717E"/>
    <w:rsid w:val="00267362"/>
    <w:rsid w:val="002725E8"/>
    <w:rsid w:val="00272EC2"/>
    <w:rsid w:val="00273B2A"/>
    <w:rsid w:val="00274677"/>
    <w:rsid w:val="00274CC5"/>
    <w:rsid w:val="00276785"/>
    <w:rsid w:val="002858D4"/>
    <w:rsid w:val="002879EC"/>
    <w:rsid w:val="0029147A"/>
    <w:rsid w:val="00297225"/>
    <w:rsid w:val="002A005E"/>
    <w:rsid w:val="002A0270"/>
    <w:rsid w:val="002C0488"/>
    <w:rsid w:val="002C4097"/>
    <w:rsid w:val="002D2C3E"/>
    <w:rsid w:val="002D3D42"/>
    <w:rsid w:val="002D479B"/>
    <w:rsid w:val="002D4BF6"/>
    <w:rsid w:val="002D6EC9"/>
    <w:rsid w:val="002D787B"/>
    <w:rsid w:val="00310659"/>
    <w:rsid w:val="00315DC4"/>
    <w:rsid w:val="00317020"/>
    <w:rsid w:val="00320B4D"/>
    <w:rsid w:val="00324FAE"/>
    <w:rsid w:val="00325E21"/>
    <w:rsid w:val="00326FF6"/>
    <w:rsid w:val="00327A22"/>
    <w:rsid w:val="0033513A"/>
    <w:rsid w:val="00342130"/>
    <w:rsid w:val="0034374B"/>
    <w:rsid w:val="00346605"/>
    <w:rsid w:val="0035318F"/>
    <w:rsid w:val="00354C01"/>
    <w:rsid w:val="00361551"/>
    <w:rsid w:val="0036306A"/>
    <w:rsid w:val="003727DB"/>
    <w:rsid w:val="00386642"/>
    <w:rsid w:val="00392176"/>
    <w:rsid w:val="003921D6"/>
    <w:rsid w:val="003A298A"/>
    <w:rsid w:val="003A553B"/>
    <w:rsid w:val="003A566A"/>
    <w:rsid w:val="003B1EC9"/>
    <w:rsid w:val="003B2414"/>
    <w:rsid w:val="003B2E8D"/>
    <w:rsid w:val="003C2392"/>
    <w:rsid w:val="003C2E75"/>
    <w:rsid w:val="003D39F5"/>
    <w:rsid w:val="003D4B45"/>
    <w:rsid w:val="003E1304"/>
    <w:rsid w:val="003E35D4"/>
    <w:rsid w:val="003E7121"/>
    <w:rsid w:val="003F0731"/>
    <w:rsid w:val="003F33B4"/>
    <w:rsid w:val="004046E1"/>
    <w:rsid w:val="004050F6"/>
    <w:rsid w:val="00405CEA"/>
    <w:rsid w:val="00405F6D"/>
    <w:rsid w:val="00424124"/>
    <w:rsid w:val="00434212"/>
    <w:rsid w:val="00437624"/>
    <w:rsid w:val="00440F6E"/>
    <w:rsid w:val="00443645"/>
    <w:rsid w:val="00443CD6"/>
    <w:rsid w:val="00444DE5"/>
    <w:rsid w:val="004552C9"/>
    <w:rsid w:val="004607AC"/>
    <w:rsid w:val="0046127E"/>
    <w:rsid w:val="004678E1"/>
    <w:rsid w:val="00473281"/>
    <w:rsid w:val="00473B68"/>
    <w:rsid w:val="0048301B"/>
    <w:rsid w:val="004904E1"/>
    <w:rsid w:val="004A07A2"/>
    <w:rsid w:val="004A5297"/>
    <w:rsid w:val="004A5ABE"/>
    <w:rsid w:val="004A6424"/>
    <w:rsid w:val="004A69D0"/>
    <w:rsid w:val="004A6A82"/>
    <w:rsid w:val="004B0D85"/>
    <w:rsid w:val="004B6AA8"/>
    <w:rsid w:val="004B6E00"/>
    <w:rsid w:val="004C186B"/>
    <w:rsid w:val="004C3F2E"/>
    <w:rsid w:val="004C4856"/>
    <w:rsid w:val="004C7784"/>
    <w:rsid w:val="004D078F"/>
    <w:rsid w:val="004D780D"/>
    <w:rsid w:val="004D7CF8"/>
    <w:rsid w:val="004E1B97"/>
    <w:rsid w:val="004E6BC0"/>
    <w:rsid w:val="004E6D3B"/>
    <w:rsid w:val="005055A6"/>
    <w:rsid w:val="00507060"/>
    <w:rsid w:val="0051179B"/>
    <w:rsid w:val="00512A5D"/>
    <w:rsid w:val="0051424F"/>
    <w:rsid w:val="00514A31"/>
    <w:rsid w:val="00523623"/>
    <w:rsid w:val="005300F0"/>
    <w:rsid w:val="00536F60"/>
    <w:rsid w:val="005413B0"/>
    <w:rsid w:val="0054154F"/>
    <w:rsid w:val="0054560C"/>
    <w:rsid w:val="00545FD3"/>
    <w:rsid w:val="0056238B"/>
    <w:rsid w:val="00565BDB"/>
    <w:rsid w:val="0057145F"/>
    <w:rsid w:val="005758E7"/>
    <w:rsid w:val="005778C8"/>
    <w:rsid w:val="0058120D"/>
    <w:rsid w:val="005A44B1"/>
    <w:rsid w:val="005A5B3A"/>
    <w:rsid w:val="005B47BD"/>
    <w:rsid w:val="005B6FA6"/>
    <w:rsid w:val="005D2C51"/>
    <w:rsid w:val="005D4EE3"/>
    <w:rsid w:val="005F269F"/>
    <w:rsid w:val="005F613D"/>
    <w:rsid w:val="00603015"/>
    <w:rsid w:val="0060603E"/>
    <w:rsid w:val="00627DF4"/>
    <w:rsid w:val="00634707"/>
    <w:rsid w:val="00644034"/>
    <w:rsid w:val="00652AC8"/>
    <w:rsid w:val="0066157D"/>
    <w:rsid w:val="006756FB"/>
    <w:rsid w:val="00677BD0"/>
    <w:rsid w:val="00680F28"/>
    <w:rsid w:val="00685B82"/>
    <w:rsid w:val="00685E11"/>
    <w:rsid w:val="00687C0D"/>
    <w:rsid w:val="006961B0"/>
    <w:rsid w:val="0069705B"/>
    <w:rsid w:val="006A0EDC"/>
    <w:rsid w:val="006A18DB"/>
    <w:rsid w:val="006A2D2E"/>
    <w:rsid w:val="006B545C"/>
    <w:rsid w:val="006C452E"/>
    <w:rsid w:val="006C6365"/>
    <w:rsid w:val="006C77B1"/>
    <w:rsid w:val="006E790B"/>
    <w:rsid w:val="006F055C"/>
    <w:rsid w:val="006F253E"/>
    <w:rsid w:val="0070610B"/>
    <w:rsid w:val="00707D20"/>
    <w:rsid w:val="00721AD7"/>
    <w:rsid w:val="007225EF"/>
    <w:rsid w:val="00722BA6"/>
    <w:rsid w:val="00723DC5"/>
    <w:rsid w:val="00727952"/>
    <w:rsid w:val="007338D6"/>
    <w:rsid w:val="00736DA9"/>
    <w:rsid w:val="00740B36"/>
    <w:rsid w:val="007422B7"/>
    <w:rsid w:val="00743CEF"/>
    <w:rsid w:val="00747A6F"/>
    <w:rsid w:val="0075622F"/>
    <w:rsid w:val="00756B44"/>
    <w:rsid w:val="0076067D"/>
    <w:rsid w:val="00782CDC"/>
    <w:rsid w:val="007839F9"/>
    <w:rsid w:val="0079276D"/>
    <w:rsid w:val="007A2765"/>
    <w:rsid w:val="007B13E5"/>
    <w:rsid w:val="007B2F6B"/>
    <w:rsid w:val="007B473A"/>
    <w:rsid w:val="007C0EE8"/>
    <w:rsid w:val="007D2C48"/>
    <w:rsid w:val="007E20F9"/>
    <w:rsid w:val="007E546F"/>
    <w:rsid w:val="007F0AF3"/>
    <w:rsid w:val="007F1928"/>
    <w:rsid w:val="007F392E"/>
    <w:rsid w:val="007F7A08"/>
    <w:rsid w:val="00811A1B"/>
    <w:rsid w:val="00812560"/>
    <w:rsid w:val="008130E0"/>
    <w:rsid w:val="00817B5B"/>
    <w:rsid w:val="00824DED"/>
    <w:rsid w:val="00826E5A"/>
    <w:rsid w:val="00836505"/>
    <w:rsid w:val="0083713D"/>
    <w:rsid w:val="008437B2"/>
    <w:rsid w:val="00843F1C"/>
    <w:rsid w:val="00850DCE"/>
    <w:rsid w:val="00854FBB"/>
    <w:rsid w:val="008661BA"/>
    <w:rsid w:val="008671A6"/>
    <w:rsid w:val="00871CA8"/>
    <w:rsid w:val="00875E7E"/>
    <w:rsid w:val="00883A2C"/>
    <w:rsid w:val="00885004"/>
    <w:rsid w:val="00886B7B"/>
    <w:rsid w:val="008878E3"/>
    <w:rsid w:val="00887AB4"/>
    <w:rsid w:val="00894290"/>
    <w:rsid w:val="00897921"/>
    <w:rsid w:val="008A25A1"/>
    <w:rsid w:val="008A5B9B"/>
    <w:rsid w:val="008B0924"/>
    <w:rsid w:val="008B1418"/>
    <w:rsid w:val="008B39B6"/>
    <w:rsid w:val="008C1AFD"/>
    <w:rsid w:val="008C4B67"/>
    <w:rsid w:val="008C7E74"/>
    <w:rsid w:val="008D1AEF"/>
    <w:rsid w:val="008D2EE5"/>
    <w:rsid w:val="009041B7"/>
    <w:rsid w:val="00905E86"/>
    <w:rsid w:val="009124E4"/>
    <w:rsid w:val="009174BD"/>
    <w:rsid w:val="00920B09"/>
    <w:rsid w:val="00924EA9"/>
    <w:rsid w:val="00925FA2"/>
    <w:rsid w:val="00926A9C"/>
    <w:rsid w:val="00927803"/>
    <w:rsid w:val="0093602F"/>
    <w:rsid w:val="00957CD1"/>
    <w:rsid w:val="00961DB2"/>
    <w:rsid w:val="0096209E"/>
    <w:rsid w:val="00962A9C"/>
    <w:rsid w:val="0097292F"/>
    <w:rsid w:val="009741D9"/>
    <w:rsid w:val="0098292E"/>
    <w:rsid w:val="00982CA4"/>
    <w:rsid w:val="00984235"/>
    <w:rsid w:val="00984D50"/>
    <w:rsid w:val="00993D92"/>
    <w:rsid w:val="009A457A"/>
    <w:rsid w:val="009A4D63"/>
    <w:rsid w:val="009A4DDC"/>
    <w:rsid w:val="009A54FC"/>
    <w:rsid w:val="009B08C5"/>
    <w:rsid w:val="009B1347"/>
    <w:rsid w:val="009B3FD1"/>
    <w:rsid w:val="009B52C0"/>
    <w:rsid w:val="009C2167"/>
    <w:rsid w:val="009D46C1"/>
    <w:rsid w:val="009D7C68"/>
    <w:rsid w:val="009E0D02"/>
    <w:rsid w:val="009E2AD6"/>
    <w:rsid w:val="009E4418"/>
    <w:rsid w:val="009E5838"/>
    <w:rsid w:val="009F0F23"/>
    <w:rsid w:val="00A00C85"/>
    <w:rsid w:val="00A11704"/>
    <w:rsid w:val="00A11840"/>
    <w:rsid w:val="00A22C61"/>
    <w:rsid w:val="00A262E4"/>
    <w:rsid w:val="00A26EC3"/>
    <w:rsid w:val="00A27226"/>
    <w:rsid w:val="00A320D5"/>
    <w:rsid w:val="00A359C7"/>
    <w:rsid w:val="00A41CF3"/>
    <w:rsid w:val="00A445AF"/>
    <w:rsid w:val="00A45DA7"/>
    <w:rsid w:val="00A4674D"/>
    <w:rsid w:val="00A55FF3"/>
    <w:rsid w:val="00A603CE"/>
    <w:rsid w:val="00A64CF7"/>
    <w:rsid w:val="00A7024B"/>
    <w:rsid w:val="00A71807"/>
    <w:rsid w:val="00A821EA"/>
    <w:rsid w:val="00A8721E"/>
    <w:rsid w:val="00A91680"/>
    <w:rsid w:val="00A92495"/>
    <w:rsid w:val="00A9377F"/>
    <w:rsid w:val="00AA5899"/>
    <w:rsid w:val="00AB609C"/>
    <w:rsid w:val="00AB75A3"/>
    <w:rsid w:val="00AB7FC6"/>
    <w:rsid w:val="00AD115D"/>
    <w:rsid w:val="00AD16AE"/>
    <w:rsid w:val="00AD6C53"/>
    <w:rsid w:val="00AE53AA"/>
    <w:rsid w:val="00AE72F4"/>
    <w:rsid w:val="00AF0A4B"/>
    <w:rsid w:val="00AF65DE"/>
    <w:rsid w:val="00AF750F"/>
    <w:rsid w:val="00B04278"/>
    <w:rsid w:val="00B12672"/>
    <w:rsid w:val="00B12CDF"/>
    <w:rsid w:val="00B2434D"/>
    <w:rsid w:val="00B24D29"/>
    <w:rsid w:val="00B30D88"/>
    <w:rsid w:val="00B34610"/>
    <w:rsid w:val="00B34716"/>
    <w:rsid w:val="00B61A13"/>
    <w:rsid w:val="00B648CA"/>
    <w:rsid w:val="00B73A69"/>
    <w:rsid w:val="00B74894"/>
    <w:rsid w:val="00B749FB"/>
    <w:rsid w:val="00B82B83"/>
    <w:rsid w:val="00B909F7"/>
    <w:rsid w:val="00B96A24"/>
    <w:rsid w:val="00BA677D"/>
    <w:rsid w:val="00BA6FDB"/>
    <w:rsid w:val="00BB02ED"/>
    <w:rsid w:val="00BC31F9"/>
    <w:rsid w:val="00BC5D46"/>
    <w:rsid w:val="00BC69E5"/>
    <w:rsid w:val="00BC6F83"/>
    <w:rsid w:val="00BD34B4"/>
    <w:rsid w:val="00BE240D"/>
    <w:rsid w:val="00BE7B88"/>
    <w:rsid w:val="00BF2C5D"/>
    <w:rsid w:val="00BF31E3"/>
    <w:rsid w:val="00BF5F1C"/>
    <w:rsid w:val="00C0195E"/>
    <w:rsid w:val="00C06607"/>
    <w:rsid w:val="00C07731"/>
    <w:rsid w:val="00C07AC0"/>
    <w:rsid w:val="00C218A9"/>
    <w:rsid w:val="00C4551E"/>
    <w:rsid w:val="00C47EE0"/>
    <w:rsid w:val="00C63006"/>
    <w:rsid w:val="00C67568"/>
    <w:rsid w:val="00C71871"/>
    <w:rsid w:val="00C85E87"/>
    <w:rsid w:val="00C8702A"/>
    <w:rsid w:val="00C913B6"/>
    <w:rsid w:val="00CA6EA3"/>
    <w:rsid w:val="00CB15A7"/>
    <w:rsid w:val="00CB6D97"/>
    <w:rsid w:val="00CE0C9D"/>
    <w:rsid w:val="00CE6572"/>
    <w:rsid w:val="00CE6E72"/>
    <w:rsid w:val="00D117C4"/>
    <w:rsid w:val="00D23CDC"/>
    <w:rsid w:val="00D26593"/>
    <w:rsid w:val="00D268EB"/>
    <w:rsid w:val="00D26CFF"/>
    <w:rsid w:val="00D274C6"/>
    <w:rsid w:val="00D33C2E"/>
    <w:rsid w:val="00D3454B"/>
    <w:rsid w:val="00D456D8"/>
    <w:rsid w:val="00D45A0E"/>
    <w:rsid w:val="00D4758C"/>
    <w:rsid w:val="00D55FAB"/>
    <w:rsid w:val="00D56240"/>
    <w:rsid w:val="00D56786"/>
    <w:rsid w:val="00D61EAB"/>
    <w:rsid w:val="00D701D3"/>
    <w:rsid w:val="00D7445F"/>
    <w:rsid w:val="00D83471"/>
    <w:rsid w:val="00D92B1D"/>
    <w:rsid w:val="00D96A5A"/>
    <w:rsid w:val="00DB7B5E"/>
    <w:rsid w:val="00DC0E31"/>
    <w:rsid w:val="00DC61A8"/>
    <w:rsid w:val="00DC70D0"/>
    <w:rsid w:val="00DC7DD6"/>
    <w:rsid w:val="00DD3971"/>
    <w:rsid w:val="00DD571D"/>
    <w:rsid w:val="00E13146"/>
    <w:rsid w:val="00E174FC"/>
    <w:rsid w:val="00E20070"/>
    <w:rsid w:val="00E20994"/>
    <w:rsid w:val="00E22124"/>
    <w:rsid w:val="00E261AD"/>
    <w:rsid w:val="00E324C0"/>
    <w:rsid w:val="00E40344"/>
    <w:rsid w:val="00E420FA"/>
    <w:rsid w:val="00E500AB"/>
    <w:rsid w:val="00E576BD"/>
    <w:rsid w:val="00E57885"/>
    <w:rsid w:val="00E57BE9"/>
    <w:rsid w:val="00E604D6"/>
    <w:rsid w:val="00E67086"/>
    <w:rsid w:val="00E67F4E"/>
    <w:rsid w:val="00E83593"/>
    <w:rsid w:val="00E857E4"/>
    <w:rsid w:val="00E85B05"/>
    <w:rsid w:val="00E86F47"/>
    <w:rsid w:val="00E9139D"/>
    <w:rsid w:val="00E92487"/>
    <w:rsid w:val="00EA0940"/>
    <w:rsid w:val="00EA3B02"/>
    <w:rsid w:val="00EA5A59"/>
    <w:rsid w:val="00EB1DA8"/>
    <w:rsid w:val="00EB3301"/>
    <w:rsid w:val="00ED6E24"/>
    <w:rsid w:val="00EE23F0"/>
    <w:rsid w:val="00EE48A6"/>
    <w:rsid w:val="00EE4A18"/>
    <w:rsid w:val="00EF06BE"/>
    <w:rsid w:val="00EF61D1"/>
    <w:rsid w:val="00F1070A"/>
    <w:rsid w:val="00F154D0"/>
    <w:rsid w:val="00F261D6"/>
    <w:rsid w:val="00F35911"/>
    <w:rsid w:val="00F37791"/>
    <w:rsid w:val="00F42D43"/>
    <w:rsid w:val="00F51A17"/>
    <w:rsid w:val="00F57965"/>
    <w:rsid w:val="00F72ABE"/>
    <w:rsid w:val="00F72B1B"/>
    <w:rsid w:val="00F77E12"/>
    <w:rsid w:val="00F814DE"/>
    <w:rsid w:val="00F90045"/>
    <w:rsid w:val="00F925FE"/>
    <w:rsid w:val="00FA28D1"/>
    <w:rsid w:val="00FA4657"/>
    <w:rsid w:val="00FA6558"/>
    <w:rsid w:val="00FB1359"/>
    <w:rsid w:val="00FC2653"/>
    <w:rsid w:val="00FD2095"/>
    <w:rsid w:val="00FD489B"/>
    <w:rsid w:val="00FD530D"/>
    <w:rsid w:val="00FD6C05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93CDB"/>
  <w15:chartTrackingRefBased/>
  <w15:docId w15:val="{C4AB733C-D9CB-4246-8D80-E2E30835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C77B1"/>
    <w:rPr>
      <w:rFonts w:ascii="Arial" w:eastAsia="Times New Roman" w:hAnsi="Arial"/>
    </w:rPr>
  </w:style>
  <w:style w:type="character" w:customStyle="1" w:styleId="PLChar">
    <w:name w:val="PL Char"/>
    <w:link w:val="PL"/>
    <w:qFormat/>
    <w:locked/>
    <w:rsid w:val="006961B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961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39"/>
    <w:rsid w:val="000C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25E2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25E21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4046E1"/>
    <w:pPr>
      <w:spacing w:after="0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7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3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1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8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27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5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3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4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3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3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0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2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99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8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9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0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7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1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4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0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39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9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4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6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6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9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6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49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F9281-85E6-3B4A-8EE5-13401824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4</cp:revision>
  <cp:lastPrinted>2016-02-23T18:51:00Z</cp:lastPrinted>
  <dcterms:created xsi:type="dcterms:W3CDTF">2019-11-08T19:23:00Z</dcterms:created>
  <dcterms:modified xsi:type="dcterms:W3CDTF">2019-11-08T19:55:00Z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